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E658F5" w:rsidRDefault="00C43043" w:rsidP="00DA259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Toc529964820"/>
      <w:bookmarkStart w:id="1" w:name="_GoBack"/>
      <w:bookmarkEnd w:id="1"/>
      <w:r>
        <w:rPr>
          <w:rFonts w:ascii="Times New Roman" w:hAnsi="Times New Roman" w:cs="Times New Roman" w:hint="eastAsia"/>
          <w:b/>
          <w:sz w:val="32"/>
        </w:rPr>
        <w:t>中央空调机组（约克）</w:t>
      </w:r>
      <w:proofErr w:type="gramStart"/>
      <w:r>
        <w:rPr>
          <w:rFonts w:ascii="Times New Roman" w:hAnsi="Times New Roman" w:cs="Times New Roman" w:hint="eastAsia"/>
          <w:b/>
          <w:sz w:val="32"/>
        </w:rPr>
        <w:t>维保</w:t>
      </w:r>
      <w:r w:rsidR="00111BCC" w:rsidRPr="00E658F5">
        <w:rPr>
          <w:rFonts w:ascii="Times New Roman" w:hAnsi="Times New Roman" w:cs="Times New Roman"/>
          <w:b/>
          <w:sz w:val="32"/>
        </w:rPr>
        <w:t>服务</w:t>
      </w:r>
      <w:proofErr w:type="gramEnd"/>
      <w:r w:rsidR="00B60CB1" w:rsidRPr="00E658F5">
        <w:rPr>
          <w:rFonts w:ascii="Times New Roman" w:hAnsi="Times New Roman" w:cs="Times New Roman"/>
          <w:b/>
          <w:sz w:val="32"/>
        </w:rPr>
        <w:t>院内咨询会公告</w:t>
      </w:r>
    </w:p>
    <w:p w:rsidR="00111BCC" w:rsidRPr="00E658F5" w:rsidRDefault="00B60CB1" w:rsidP="00C43043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一、</w:t>
      </w:r>
      <w:bookmarkEnd w:id="0"/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项目名称：</w:t>
      </w:r>
      <w:r w:rsidR="00C43043"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武汉市第四医院</w:t>
      </w:r>
      <w:r w:rsid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中央空调机组（约克）</w:t>
      </w:r>
      <w:proofErr w:type="gramStart"/>
      <w:r w:rsid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维保服务</w:t>
      </w:r>
      <w:proofErr w:type="gramEnd"/>
    </w:p>
    <w:p w:rsidR="00B60CB1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二、服务期限：</w:t>
      </w:r>
      <w:r w:rsidR="00914155" w:rsidRPr="00E658F5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年</w:t>
      </w:r>
    </w:p>
    <w:p w:rsidR="00C43043" w:rsidRDefault="00DA3330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三、</w:t>
      </w:r>
      <w:r w:rsidR="00C43043"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服务地点：武胜路院区</w:t>
      </w:r>
    </w:p>
    <w:p w:rsidR="00C43043" w:rsidRDefault="00C43043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四、</w:t>
      </w:r>
      <w:r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服务内容：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701"/>
        <w:gridCol w:w="1134"/>
        <w:gridCol w:w="2268"/>
      </w:tblGrid>
      <w:tr w:rsidR="00C43043" w:rsidRPr="00A64CF5" w:rsidTr="0040117A">
        <w:trPr>
          <w:trHeight w:val="525"/>
        </w:trPr>
        <w:tc>
          <w:tcPr>
            <w:tcW w:w="1560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A64CF5">
              <w:rPr>
                <w:rFonts w:ascii="Arial" w:eastAsia="宋体" w:hAnsi="Arial" w:cs="Arial"/>
                <w:b/>
                <w:sz w:val="22"/>
              </w:rPr>
              <w:t>机组</w:t>
            </w:r>
            <w:r w:rsidRPr="00A64CF5">
              <w:rPr>
                <w:rFonts w:ascii="Arial" w:eastAsia="宋体" w:hAnsi="Arial" w:cs="Arial" w:hint="eastAsia"/>
                <w:b/>
                <w:sz w:val="22"/>
              </w:rPr>
              <w:t>品牌</w:t>
            </w:r>
          </w:p>
        </w:tc>
        <w:tc>
          <w:tcPr>
            <w:tcW w:w="2268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A64CF5">
              <w:rPr>
                <w:rFonts w:ascii="Arial" w:eastAsia="宋体" w:hAnsi="Arial" w:cs="Arial"/>
                <w:b/>
                <w:sz w:val="22"/>
              </w:rPr>
              <w:t>型号</w:t>
            </w:r>
          </w:p>
        </w:tc>
        <w:tc>
          <w:tcPr>
            <w:tcW w:w="1701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A64CF5">
              <w:rPr>
                <w:rFonts w:ascii="Arial" w:eastAsia="宋体" w:hAnsi="Arial" w:cs="Arial"/>
                <w:b/>
                <w:sz w:val="22"/>
              </w:rPr>
              <w:t>冷量（</w:t>
            </w:r>
            <w:r w:rsidRPr="00A64CF5">
              <w:rPr>
                <w:rFonts w:ascii="Arial" w:eastAsia="宋体" w:hAnsi="Arial" w:cs="Arial" w:hint="eastAsia"/>
                <w:b/>
                <w:sz w:val="22"/>
              </w:rPr>
              <w:t>K</w:t>
            </w:r>
            <w:r w:rsidRPr="00A64CF5">
              <w:rPr>
                <w:rFonts w:ascii="Arial" w:eastAsia="宋体" w:hAnsi="Arial" w:cs="Arial"/>
                <w:b/>
                <w:sz w:val="22"/>
              </w:rPr>
              <w:t>W/</w:t>
            </w:r>
            <w:r w:rsidRPr="00A64CF5">
              <w:rPr>
                <w:rFonts w:ascii="Arial" w:eastAsia="宋体" w:hAnsi="Arial" w:cs="Arial"/>
                <w:b/>
                <w:sz w:val="22"/>
              </w:rPr>
              <w:t>台）</w:t>
            </w:r>
          </w:p>
        </w:tc>
        <w:tc>
          <w:tcPr>
            <w:tcW w:w="1134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A64CF5">
              <w:rPr>
                <w:rFonts w:ascii="Arial" w:eastAsia="宋体" w:hAnsi="Arial" w:cs="Arial"/>
                <w:b/>
                <w:sz w:val="22"/>
              </w:rPr>
              <w:t>数量（台）</w:t>
            </w:r>
          </w:p>
        </w:tc>
        <w:tc>
          <w:tcPr>
            <w:tcW w:w="2268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2"/>
              </w:rPr>
            </w:pPr>
            <w:r w:rsidRPr="00A64CF5">
              <w:rPr>
                <w:rFonts w:ascii="Arial" w:eastAsia="宋体" w:hAnsi="Arial" w:cs="Arial"/>
                <w:b/>
                <w:sz w:val="22"/>
              </w:rPr>
              <w:t>所属项目</w:t>
            </w:r>
          </w:p>
        </w:tc>
      </w:tr>
      <w:tr w:rsidR="00C43043" w:rsidRPr="00A64CF5" w:rsidTr="0040117A">
        <w:trPr>
          <w:trHeight w:val="525"/>
        </w:trPr>
        <w:tc>
          <w:tcPr>
            <w:tcW w:w="1560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64CF5">
              <w:rPr>
                <w:rFonts w:ascii="Arial" w:eastAsia="宋体" w:hAnsi="Arial" w:cs="Arial" w:hint="eastAsia"/>
                <w:b/>
                <w:sz w:val="24"/>
                <w:szCs w:val="24"/>
              </w:rPr>
              <w:t>约克</w:t>
            </w:r>
          </w:p>
        </w:tc>
        <w:tc>
          <w:tcPr>
            <w:tcW w:w="2268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64CF5">
              <w:rPr>
                <w:rFonts w:ascii="Arial" w:eastAsia="宋体" w:hAnsi="Arial" w:cs="Arial" w:hint="eastAsia"/>
                <w:b/>
                <w:sz w:val="24"/>
                <w:szCs w:val="24"/>
              </w:rPr>
              <w:t>YSCACAS25CEE</w:t>
            </w:r>
          </w:p>
        </w:tc>
        <w:tc>
          <w:tcPr>
            <w:tcW w:w="1701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64CF5">
              <w:rPr>
                <w:rFonts w:ascii="Arial" w:eastAsia="宋体" w:hAnsi="Arial" w:cs="Arial" w:hint="eastAsia"/>
                <w:b/>
                <w:sz w:val="24"/>
                <w:szCs w:val="24"/>
              </w:rPr>
              <w:t>100RT/1</w:t>
            </w:r>
            <w:r w:rsidRPr="00A64CF5">
              <w:rPr>
                <w:rFonts w:ascii="Arial" w:eastAsia="宋体" w:hAnsi="Arial" w:cs="Arial" w:hint="eastAsia"/>
                <w:b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64CF5">
              <w:rPr>
                <w:rFonts w:ascii="Arial" w:eastAsia="宋体" w:hAnsi="Arial" w:cs="Arial" w:hint="eastAsia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43043" w:rsidRPr="00A64CF5" w:rsidRDefault="00C43043" w:rsidP="0040117A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64CF5">
              <w:rPr>
                <w:rFonts w:ascii="Arial" w:eastAsia="宋体" w:hAnsi="Arial" w:cs="Arial" w:hint="eastAsia"/>
                <w:b/>
                <w:sz w:val="24"/>
                <w:szCs w:val="24"/>
              </w:rPr>
              <w:t>武胜路</w:t>
            </w:r>
            <w:r w:rsidRPr="00A64CF5">
              <w:rPr>
                <w:rFonts w:ascii="Arial" w:eastAsia="宋体" w:hAnsi="Arial" w:cs="Arial"/>
                <w:b/>
                <w:sz w:val="24"/>
                <w:szCs w:val="24"/>
              </w:rPr>
              <w:t>院区</w:t>
            </w:r>
            <w:r w:rsidRPr="00A64CF5">
              <w:rPr>
                <w:rFonts w:ascii="Arial" w:eastAsia="宋体" w:hAnsi="Arial" w:cs="Arial" w:hint="eastAsia"/>
                <w:b/>
                <w:sz w:val="24"/>
                <w:szCs w:val="24"/>
              </w:rPr>
              <w:t>住院部</w:t>
            </w:r>
          </w:p>
        </w:tc>
      </w:tr>
    </w:tbl>
    <w:p w:rsidR="00C43043" w:rsidRDefault="00C43043" w:rsidP="00C43043">
      <w:pPr>
        <w:widowControl/>
        <w:spacing w:line="480" w:lineRule="exact"/>
        <w:ind w:firstLineChars="200" w:firstLine="56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负责采购人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该中央空调</w:t>
      </w:r>
      <w:r w:rsidR="00FD3ED5">
        <w:rPr>
          <w:rFonts w:ascii="Times New Roman" w:eastAsia="宋体" w:hAnsi="Times New Roman" w:cs="Times New Roman" w:hint="eastAsia"/>
          <w:kern w:val="0"/>
          <w:sz w:val="28"/>
          <w:szCs w:val="28"/>
        </w:rPr>
        <w:t>机组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维修</w:t>
      </w:r>
      <w:r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和保养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工作</w:t>
      </w:r>
      <w:r w:rsidR="00D82AA5">
        <w:rPr>
          <w:rFonts w:ascii="Times New Roman" w:eastAsia="宋体" w:hAnsi="Times New Roman" w:cs="Times New Roman" w:hint="eastAsia"/>
          <w:kern w:val="0"/>
          <w:sz w:val="28"/>
          <w:szCs w:val="28"/>
        </w:rPr>
        <w:t>，以</w:t>
      </w:r>
      <w:r w:rsidRP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确保机组高效、正常运行。</w:t>
      </w:r>
    </w:p>
    <w:p w:rsidR="00B42712" w:rsidRPr="00E658F5" w:rsidRDefault="00C43043" w:rsidP="00C43043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五、服务</w:t>
      </w:r>
      <w:r w:rsidR="00DA3330" w:rsidRPr="00E658F5">
        <w:rPr>
          <w:rFonts w:ascii="Times New Roman" w:eastAsia="宋体" w:hAnsi="Times New Roman" w:cs="Times New Roman"/>
          <w:kern w:val="0"/>
          <w:sz w:val="28"/>
          <w:szCs w:val="28"/>
        </w:rPr>
        <w:t>要求</w:t>
      </w:r>
    </w:p>
    <w:p w:rsidR="00F007BC" w:rsidRPr="00F007BC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bookmarkStart w:id="2" w:name="_Toc499021035"/>
      <w:bookmarkStart w:id="3" w:name="_Toc529964821"/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（一）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每年机组开始运行之前，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与</w:t>
      </w: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采购人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操作人员一起共同对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采购人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的机组进行一次检查调试，包括对油路、</w:t>
      </w:r>
      <w:proofErr w:type="gramStart"/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氟系统</w:t>
      </w:r>
      <w:proofErr w:type="gramEnd"/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进行全面检测，对机组所有电控柜、控制中心进行检查，并对主电路、控制电路作检查测试，对电机接线进行紧固、整理，以使其投入正常运行状况，并提交相应的状态报告；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 xml:space="preserve">                        </w:t>
      </w:r>
    </w:p>
    <w:p w:rsidR="00F007BC" w:rsidRPr="00F007BC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（二）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每年使用季节结束，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对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采购人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的机组进行每年一次的全面检查及保养，同时提交年度保养报告。</w:t>
      </w:r>
    </w:p>
    <w:p w:rsidR="00F007BC" w:rsidRPr="00F007BC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（三）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月度预防性检查：机组在运行季节，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提供每月一次的预防性检查，以便及时发现并处理问题，并提交相应的工作单。</w:t>
      </w:r>
    </w:p>
    <w:p w:rsidR="00F007BC" w:rsidRPr="00F007BC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（四）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应急维修：机组在运行季节，对其出现的临时性故障，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提供随时的应急维护，以保证机组日常的正常运行，并提交相应的工作单。</w:t>
      </w:r>
    </w:p>
    <w:p w:rsidR="00B42712" w:rsidRDefault="00C43043" w:rsidP="00F007BC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（五）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保养合同期间，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采购人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机组运行出现故障时，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供应商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在接到甲方报修通知后，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2</w:t>
      </w:r>
      <w:r w:rsidR="00F007BC" w:rsidRPr="00F007BC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个工作小时内到达现场（因交通原因延误除外），进行故障排除或采取相关应急措施，直至机组恢复正常运行（设备零部件损坏，需加工或更换则除外）。</w:t>
      </w:r>
    </w:p>
    <w:p w:rsidR="00F06CC0" w:rsidRPr="00F06CC0" w:rsidRDefault="00F06CC0" w:rsidP="00F06CC0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lastRenderedPageBreak/>
        <w:t>（六）</w:t>
      </w:r>
      <w:r w:rsidRPr="00F06CC0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每月检查各系统设备运行电流、温度、声音、震动、进出口压力，对设备进行除尘工作，对运行不正常的设备及时维修，保证机组正常运行。</w:t>
      </w:r>
    </w:p>
    <w:p w:rsidR="00F06CC0" w:rsidRPr="00F06CC0" w:rsidRDefault="00F06CC0" w:rsidP="00F06CC0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（七）</w:t>
      </w:r>
      <w:r w:rsidRPr="00F06CC0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每年一次对泵、电机进行加油，防止轴承生锈。</w:t>
      </w:r>
    </w:p>
    <w:p w:rsidR="00F06CC0" w:rsidRPr="00F06CC0" w:rsidRDefault="00F06CC0" w:rsidP="00F06CC0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（八）</w:t>
      </w:r>
      <w:r w:rsidRPr="00F06CC0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每年一次对泵、电机等设备进行防锈上漆工作，防止设备生锈，延长水泵使用寿命。</w:t>
      </w:r>
    </w:p>
    <w:p w:rsidR="00F06CC0" w:rsidRPr="00F06CC0" w:rsidRDefault="00F06CC0" w:rsidP="00F06CC0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（九）</w:t>
      </w:r>
      <w:r w:rsidRPr="00F06CC0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每半年检查设备及控制柜接线螺栓是否松动，防止因接触不良引发的电气故障。</w:t>
      </w:r>
    </w:p>
    <w:p w:rsidR="00C43043" w:rsidRPr="00C43043" w:rsidRDefault="00C43043" w:rsidP="00C43043">
      <w:pPr>
        <w:widowControl/>
        <w:spacing w:line="480" w:lineRule="exact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七、付款方式</w:t>
      </w:r>
    </w:p>
    <w:p w:rsidR="00C43043" w:rsidRDefault="00C43043" w:rsidP="00C43043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（一）甲方对每季度乙方进行工作考核评价，从服务态度、服务能力、服务质量、服务效率、服务纪律五个方面进行考核打分评定。</w:t>
      </w:r>
      <w:proofErr w:type="gramStart"/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每方面</w:t>
      </w:r>
      <w:proofErr w:type="gramEnd"/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考核内容分值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20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分，合计满分值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100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分。得分≧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分为合格，该季度维保费全额支付；得分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80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至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89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分为基本合格，维保费按每低于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分扣减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1%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；得分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&lt;80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分为不合格，维保费按每低于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90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分扣减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1%</w:t>
      </w: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，连续两个季度考评不合格，甲方有权单方面终止服务合同。</w:t>
      </w:r>
    </w:p>
    <w:p w:rsidR="00C43043" w:rsidRDefault="00C43043" w:rsidP="00C43043">
      <w:pPr>
        <w:widowControl/>
        <w:spacing w:line="480" w:lineRule="exact"/>
        <w:ind w:firstLine="570"/>
        <w:rPr>
          <w:rFonts w:ascii="Times New Roman" w:eastAsia="宋体" w:hAnsi="Times New Roman" w:cs="Times New Roman"/>
          <w:bCs/>
          <w:iCs/>
          <w:color w:val="000000" w:themeColor="text1"/>
          <w:sz w:val="28"/>
          <w:szCs w:val="28"/>
        </w:rPr>
      </w:pPr>
      <w:r w:rsidRPr="00C43043">
        <w:rPr>
          <w:rFonts w:ascii="Times New Roman" w:eastAsia="宋体" w:hAnsi="Times New Roman" w:cs="Times New Roman" w:hint="eastAsia"/>
          <w:bCs/>
          <w:iCs/>
          <w:color w:val="000000" w:themeColor="text1"/>
          <w:sz w:val="28"/>
          <w:szCs w:val="28"/>
        </w:rPr>
        <w:t>（二）维保费支付方式，分四次支付，甲方每季度根据考评分数来确定维保费。</w:t>
      </w:r>
    </w:p>
    <w:bookmarkEnd w:id="2"/>
    <w:bookmarkEnd w:id="3"/>
    <w:p w:rsidR="00B60CB1" w:rsidRPr="00E658F5" w:rsidRDefault="00373086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七</w:t>
      </w:r>
      <w:r w:rsidR="00B60CB1" w:rsidRPr="00E658F5">
        <w:rPr>
          <w:rFonts w:ascii="Times New Roman" w:eastAsia="宋体" w:hAnsi="Times New Roman" w:cs="Times New Roman"/>
          <w:kern w:val="0"/>
          <w:sz w:val="28"/>
          <w:szCs w:val="28"/>
        </w:rPr>
        <w:t>、响应文件提交时间：</w:t>
      </w:r>
    </w:p>
    <w:p w:rsidR="008852B9" w:rsidRPr="008852B9" w:rsidRDefault="008852B9" w:rsidP="008852B9">
      <w:pPr>
        <w:spacing w:line="540" w:lineRule="exact"/>
        <w:ind w:firstLineChars="200" w:firstLine="560"/>
        <w:rPr>
          <w:rFonts w:ascii="Times New Roman" w:eastAsia="宋体" w:hAnsi="Times New Roman" w:cs="Times New Roman"/>
          <w:color w:val="000000" w:themeColor="text1"/>
          <w:kern w:val="0"/>
          <w:sz w:val="28"/>
          <w:szCs w:val="28"/>
        </w:rPr>
      </w:pP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2022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18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日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-2022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24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日（工作时间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08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：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00-12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：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00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，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14:00-17:00</w:t>
      </w:r>
      <w:r w:rsidRPr="008852B9"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）。响应文件密封报送并盖骑缝章，封面注明参与单位、项目名称、联系人及联系方式。</w:t>
      </w:r>
    </w:p>
    <w:p w:rsidR="00C43043" w:rsidRPr="00C43043" w:rsidRDefault="00C43043" w:rsidP="00C43043">
      <w:pPr>
        <w:spacing w:line="540" w:lineRule="exac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八、资格要求：</w:t>
      </w:r>
    </w:p>
    <w:p w:rsidR="00C43043" w:rsidRPr="00C43043" w:rsidRDefault="00C43043" w:rsidP="00C43043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43043">
        <w:rPr>
          <w:rFonts w:ascii="宋体" w:eastAsia="宋体" w:hAnsi="宋体" w:cs="宋体" w:hint="eastAsia"/>
          <w:kern w:val="0"/>
          <w:sz w:val="28"/>
          <w:szCs w:val="28"/>
        </w:rPr>
        <w:t>（一）满足《中华人民共和国政府采购法》第二十二条规定：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（1）具有独立承担民事责任的能力；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（2）具有良好的商业信誉和健全的财务会计制度；</w:t>
      </w:r>
    </w:p>
    <w:p w:rsidR="00C43043" w:rsidRPr="00C43043" w:rsidRDefault="00C43043" w:rsidP="00C43043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（3）供应商必须具备电子与智能化工程专业承包资质</w:t>
      </w:r>
    </w:p>
    <w:p w:rsidR="00C43043" w:rsidRPr="00C43043" w:rsidRDefault="00C43043" w:rsidP="00C43043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lastRenderedPageBreak/>
        <w:t>（4）供应商必须具备安全生产许可证书</w:t>
      </w:r>
    </w:p>
    <w:p w:rsidR="00C43043" w:rsidRPr="00C43043" w:rsidRDefault="00C43043" w:rsidP="00C43043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（5）具有履行合同所必需的设备和专业技术能力；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（6）有依法缴纳税收和社会保障资金的良好记录；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（7）参加政府采购活动前三年内，在经营活动中没有重大违法记录；</w:t>
      </w:r>
    </w:p>
    <w:p w:rsidR="00C43043" w:rsidRPr="00C43043" w:rsidRDefault="00C43043" w:rsidP="00C43043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C43043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（8）法律、行政法规规定的其他条件。</w:t>
      </w:r>
    </w:p>
    <w:p w:rsidR="00B60CB1" w:rsidRPr="00E658F5" w:rsidRDefault="00C43043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九</w:t>
      </w:r>
      <w:r w:rsidR="00B60CB1" w:rsidRPr="00E658F5">
        <w:rPr>
          <w:rFonts w:ascii="Times New Roman" w:eastAsia="宋体" w:hAnsi="Times New Roman" w:cs="Times New Roman"/>
          <w:kern w:val="0"/>
          <w:sz w:val="28"/>
          <w:szCs w:val="28"/>
        </w:rPr>
        <w:t>、响应文件递交送达地址：武汉市第四医院武胜路院区总务科</w:t>
      </w:r>
    </w:p>
    <w:p w:rsidR="00B60CB1" w:rsidRPr="00E658F5" w:rsidRDefault="00C43043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十</w:t>
      </w:r>
      <w:r w:rsidR="00B60CB1" w:rsidRPr="00E658F5">
        <w:rPr>
          <w:rFonts w:ascii="Times New Roman" w:eastAsia="宋体" w:hAnsi="Times New Roman" w:cs="Times New Roman"/>
          <w:kern w:val="0"/>
          <w:sz w:val="28"/>
          <w:szCs w:val="28"/>
        </w:rPr>
        <w:t>、会议时间及地点另行通知。</w:t>
      </w:r>
    </w:p>
    <w:p w:rsidR="00B60CB1" w:rsidRPr="00E658F5" w:rsidRDefault="00C0006A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十</w:t>
      </w:r>
      <w:r w:rsidR="00C43043">
        <w:rPr>
          <w:rFonts w:ascii="Times New Roman" w:eastAsia="宋体" w:hAnsi="Times New Roman" w:cs="Times New Roman" w:hint="eastAsia"/>
          <w:kern w:val="0"/>
          <w:sz w:val="28"/>
          <w:szCs w:val="28"/>
        </w:rPr>
        <w:t>一</w:t>
      </w:r>
      <w:r w:rsidR="00B60CB1" w:rsidRPr="00E658F5">
        <w:rPr>
          <w:rFonts w:ascii="Times New Roman" w:eastAsia="宋体" w:hAnsi="Times New Roman" w:cs="Times New Roman"/>
          <w:kern w:val="0"/>
          <w:sz w:val="28"/>
          <w:szCs w:val="28"/>
        </w:rPr>
        <w:t>、联系方式</w:t>
      </w:r>
    </w:p>
    <w:p w:rsidR="00B60CB1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采购人：武汉市第四医院</w:t>
      </w:r>
    </w:p>
    <w:p w:rsidR="00B60CB1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地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址：武汉市第四医院武胜路院区总务科</w:t>
      </w:r>
    </w:p>
    <w:p w:rsidR="00B60CB1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联系人：任文杰</w:t>
      </w:r>
    </w:p>
    <w:p w:rsidR="000D2607" w:rsidRPr="00E658F5" w:rsidRDefault="00B60CB1" w:rsidP="005619B2">
      <w:pPr>
        <w:widowControl/>
        <w:spacing w:line="48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电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 xml:space="preserve">  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话：</w:t>
      </w:r>
      <w:r w:rsidRPr="00E658F5">
        <w:rPr>
          <w:rFonts w:ascii="Times New Roman" w:eastAsia="宋体" w:hAnsi="Times New Roman" w:cs="Times New Roman"/>
          <w:kern w:val="0"/>
          <w:sz w:val="28"/>
          <w:szCs w:val="28"/>
        </w:rPr>
        <w:t>68834990</w:t>
      </w:r>
    </w:p>
    <w:sectPr w:rsidR="000D2607" w:rsidRPr="00E658F5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A7" w:rsidRPr="008C5BE3" w:rsidRDefault="005004A7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5004A7" w:rsidRPr="008C5BE3" w:rsidRDefault="005004A7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A7" w:rsidRPr="008C5BE3" w:rsidRDefault="005004A7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5004A7" w:rsidRPr="008C5BE3" w:rsidRDefault="005004A7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A92DF"/>
    <w:multiLevelType w:val="singleLevel"/>
    <w:tmpl w:val="B76A92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25107A"/>
    <w:multiLevelType w:val="multilevel"/>
    <w:tmpl w:val="2D25107A"/>
    <w:lvl w:ilvl="0">
      <w:start w:val="1"/>
      <w:numFmt w:val="none"/>
      <w:lvlText w:val="一、"/>
      <w:lvlJc w:val="left"/>
      <w:pPr>
        <w:ind w:left="2891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44" w:hanging="420"/>
      </w:pPr>
    </w:lvl>
    <w:lvl w:ilvl="2">
      <w:start w:val="1"/>
      <w:numFmt w:val="lowerRoman"/>
      <w:lvlText w:val="%3."/>
      <w:lvlJc w:val="right"/>
      <w:pPr>
        <w:ind w:left="4664" w:hanging="420"/>
      </w:pPr>
    </w:lvl>
    <w:lvl w:ilvl="3">
      <w:start w:val="1"/>
      <w:numFmt w:val="decimal"/>
      <w:lvlText w:val="%4."/>
      <w:lvlJc w:val="left"/>
      <w:pPr>
        <w:ind w:left="5084" w:hanging="420"/>
      </w:pPr>
    </w:lvl>
    <w:lvl w:ilvl="4">
      <w:start w:val="1"/>
      <w:numFmt w:val="lowerLetter"/>
      <w:lvlText w:val="%5)"/>
      <w:lvlJc w:val="left"/>
      <w:pPr>
        <w:ind w:left="5504" w:hanging="420"/>
      </w:pPr>
    </w:lvl>
    <w:lvl w:ilvl="5">
      <w:start w:val="1"/>
      <w:numFmt w:val="lowerRoman"/>
      <w:lvlText w:val="%6."/>
      <w:lvlJc w:val="right"/>
      <w:pPr>
        <w:ind w:left="5924" w:hanging="420"/>
      </w:pPr>
    </w:lvl>
    <w:lvl w:ilvl="6">
      <w:start w:val="1"/>
      <w:numFmt w:val="decimal"/>
      <w:lvlText w:val="%7."/>
      <w:lvlJc w:val="left"/>
      <w:pPr>
        <w:ind w:left="6344" w:hanging="420"/>
      </w:pPr>
    </w:lvl>
    <w:lvl w:ilvl="7">
      <w:start w:val="1"/>
      <w:numFmt w:val="lowerLetter"/>
      <w:lvlText w:val="%8)"/>
      <w:lvlJc w:val="left"/>
      <w:pPr>
        <w:ind w:left="6764" w:hanging="420"/>
      </w:pPr>
    </w:lvl>
    <w:lvl w:ilvl="8">
      <w:start w:val="1"/>
      <w:numFmt w:val="lowerRoman"/>
      <w:lvlText w:val="%9."/>
      <w:lvlJc w:val="right"/>
      <w:pPr>
        <w:ind w:left="7184" w:hanging="420"/>
      </w:pPr>
    </w:lvl>
  </w:abstractNum>
  <w:abstractNum w:abstractNumId="2">
    <w:nsid w:val="2EA703AD"/>
    <w:multiLevelType w:val="multilevel"/>
    <w:tmpl w:val="2EA703AD"/>
    <w:lvl w:ilvl="0">
      <w:start w:val="2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1BB58AA"/>
    <w:multiLevelType w:val="hybridMultilevel"/>
    <w:tmpl w:val="78327E58"/>
    <w:lvl w:ilvl="0" w:tplc="2C867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1397E"/>
    <w:rsid w:val="00020068"/>
    <w:rsid w:val="000D0824"/>
    <w:rsid w:val="000D2607"/>
    <w:rsid w:val="00111BCC"/>
    <w:rsid w:val="001545EA"/>
    <w:rsid w:val="002012FD"/>
    <w:rsid w:val="00273E63"/>
    <w:rsid w:val="002E435A"/>
    <w:rsid w:val="0030138E"/>
    <w:rsid w:val="00373086"/>
    <w:rsid w:val="00384090"/>
    <w:rsid w:val="003C0DA7"/>
    <w:rsid w:val="003D13CC"/>
    <w:rsid w:val="003D1EDD"/>
    <w:rsid w:val="003F12CC"/>
    <w:rsid w:val="00427359"/>
    <w:rsid w:val="00471DC3"/>
    <w:rsid w:val="004938D2"/>
    <w:rsid w:val="004A0978"/>
    <w:rsid w:val="004B216C"/>
    <w:rsid w:val="004F1D30"/>
    <w:rsid w:val="005004A7"/>
    <w:rsid w:val="00513F0B"/>
    <w:rsid w:val="005619B2"/>
    <w:rsid w:val="0056415A"/>
    <w:rsid w:val="005A1D62"/>
    <w:rsid w:val="00625749"/>
    <w:rsid w:val="00652781"/>
    <w:rsid w:val="006602EC"/>
    <w:rsid w:val="00662A86"/>
    <w:rsid w:val="0066614C"/>
    <w:rsid w:val="00672978"/>
    <w:rsid w:val="006935BF"/>
    <w:rsid w:val="006A466D"/>
    <w:rsid w:val="00757962"/>
    <w:rsid w:val="00763188"/>
    <w:rsid w:val="00774303"/>
    <w:rsid w:val="0083725C"/>
    <w:rsid w:val="008852B9"/>
    <w:rsid w:val="008A0735"/>
    <w:rsid w:val="008C376C"/>
    <w:rsid w:val="00914155"/>
    <w:rsid w:val="00914A56"/>
    <w:rsid w:val="00984A50"/>
    <w:rsid w:val="009E53C6"/>
    <w:rsid w:val="00A64CF5"/>
    <w:rsid w:val="00A67129"/>
    <w:rsid w:val="00A7418F"/>
    <w:rsid w:val="00AA0519"/>
    <w:rsid w:val="00AC5FA6"/>
    <w:rsid w:val="00AE00C3"/>
    <w:rsid w:val="00B15E5F"/>
    <w:rsid w:val="00B42712"/>
    <w:rsid w:val="00B60CB1"/>
    <w:rsid w:val="00B77416"/>
    <w:rsid w:val="00BD2CF7"/>
    <w:rsid w:val="00C0006A"/>
    <w:rsid w:val="00C241C3"/>
    <w:rsid w:val="00C35FEB"/>
    <w:rsid w:val="00C43043"/>
    <w:rsid w:val="00C723AB"/>
    <w:rsid w:val="00D02CBF"/>
    <w:rsid w:val="00D36D6A"/>
    <w:rsid w:val="00D37F03"/>
    <w:rsid w:val="00D530D3"/>
    <w:rsid w:val="00D6018B"/>
    <w:rsid w:val="00D82AA5"/>
    <w:rsid w:val="00DA2594"/>
    <w:rsid w:val="00DA3330"/>
    <w:rsid w:val="00DC2290"/>
    <w:rsid w:val="00E27E80"/>
    <w:rsid w:val="00E54178"/>
    <w:rsid w:val="00E6486B"/>
    <w:rsid w:val="00E658F5"/>
    <w:rsid w:val="00E80AEC"/>
    <w:rsid w:val="00EC093E"/>
    <w:rsid w:val="00F007BC"/>
    <w:rsid w:val="00F06CC0"/>
    <w:rsid w:val="00F16922"/>
    <w:rsid w:val="00F30FA4"/>
    <w:rsid w:val="00F701F9"/>
    <w:rsid w:val="00F93BF3"/>
    <w:rsid w:val="00F97F7A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80AEC"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paragraph" w:styleId="a5">
    <w:name w:val="List Paragraph"/>
    <w:basedOn w:val="a"/>
    <w:uiPriority w:val="34"/>
    <w:qFormat/>
    <w:rsid w:val="00111BC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80AEC"/>
    <w:rPr>
      <w:rFonts w:ascii="宋体" w:hAnsi="宋体" w:cstheme="majorBidi"/>
      <w:b/>
      <w:bCs/>
      <w:i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B15E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5E5F"/>
    <w:rPr>
      <w:sz w:val="18"/>
      <w:szCs w:val="18"/>
    </w:rPr>
  </w:style>
  <w:style w:type="paragraph" w:styleId="a7">
    <w:name w:val="No Spacing"/>
    <w:uiPriority w:val="1"/>
    <w:qFormat/>
    <w:rsid w:val="00B15E5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79F2-B557-4182-9853-C729883F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66</cp:revision>
  <dcterms:created xsi:type="dcterms:W3CDTF">2021-12-10T00:17:00Z</dcterms:created>
  <dcterms:modified xsi:type="dcterms:W3CDTF">2022-03-17T07:02:00Z</dcterms:modified>
</cp:coreProperties>
</file>