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E658F5" w:rsidRDefault="00C43043" w:rsidP="00DA259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Toc529964820"/>
      <w:bookmarkStart w:id="1" w:name="_GoBack"/>
      <w:bookmarkEnd w:id="1"/>
      <w:r>
        <w:rPr>
          <w:rFonts w:ascii="Times New Roman" w:hAnsi="Times New Roman" w:cs="Times New Roman" w:hint="eastAsia"/>
          <w:b/>
          <w:sz w:val="32"/>
        </w:rPr>
        <w:t>中央空调机组维保</w:t>
      </w:r>
      <w:r w:rsidR="00111BCC" w:rsidRPr="00E658F5">
        <w:rPr>
          <w:rFonts w:ascii="Times New Roman" w:hAnsi="Times New Roman" w:cs="Times New Roman"/>
          <w:b/>
          <w:sz w:val="32"/>
        </w:rPr>
        <w:t>服务</w:t>
      </w:r>
      <w:r w:rsidR="00B60CB1" w:rsidRPr="00E658F5">
        <w:rPr>
          <w:rFonts w:ascii="Times New Roman" w:hAnsi="Times New Roman" w:cs="Times New Roman"/>
          <w:b/>
          <w:sz w:val="32"/>
        </w:rPr>
        <w:t>院内咨询会公告</w:t>
      </w:r>
    </w:p>
    <w:p w:rsidR="00111BCC" w:rsidRPr="00E658F5" w:rsidRDefault="00B60CB1" w:rsidP="00C43043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一、</w:t>
      </w:r>
      <w:bookmarkEnd w:id="0"/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项目名称：</w:t>
      </w:r>
      <w:r w:rsidR="00C43043"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武汉市第四医院</w:t>
      </w:r>
      <w:r w:rsid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中央空调机组维保服务</w:t>
      </w:r>
    </w:p>
    <w:p w:rsidR="00B60CB1" w:rsidRPr="00E658F5" w:rsidRDefault="00B60CB1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二、服务期限：</w:t>
      </w:r>
      <w:r w:rsidR="00914155" w:rsidRPr="00E658F5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年</w:t>
      </w:r>
    </w:p>
    <w:p w:rsidR="00C43043" w:rsidRDefault="00DA3330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三、</w:t>
      </w:r>
      <w:r w:rsidR="00C43043"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服务地点：武胜路院区、古田院区</w:t>
      </w:r>
    </w:p>
    <w:p w:rsidR="00C43043" w:rsidRDefault="00C43043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四、</w:t>
      </w:r>
      <w:r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服务内容：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1958"/>
        <w:gridCol w:w="1732"/>
        <w:gridCol w:w="1110"/>
        <w:gridCol w:w="2554"/>
      </w:tblGrid>
      <w:tr w:rsidR="00B75C50" w:rsidRPr="00B75C50" w:rsidTr="0040117A">
        <w:trPr>
          <w:trHeight w:val="525"/>
        </w:trPr>
        <w:tc>
          <w:tcPr>
            <w:tcW w:w="218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2"/>
              </w:rPr>
            </w:pPr>
            <w:r w:rsidRPr="00B75C50">
              <w:rPr>
                <w:rFonts w:ascii="Arial" w:eastAsia="宋体" w:hAnsi="Arial" w:cs="Arial"/>
                <w:b/>
                <w:sz w:val="22"/>
              </w:rPr>
              <w:t>机组</w:t>
            </w:r>
            <w:r w:rsidRPr="00B75C50">
              <w:rPr>
                <w:rFonts w:ascii="Arial" w:eastAsia="宋体" w:hAnsi="Arial" w:cs="Arial" w:hint="eastAsia"/>
                <w:b/>
                <w:sz w:val="22"/>
              </w:rPr>
              <w:t>品牌</w:t>
            </w:r>
          </w:p>
        </w:tc>
        <w:tc>
          <w:tcPr>
            <w:tcW w:w="1958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2"/>
              </w:rPr>
            </w:pPr>
            <w:r w:rsidRPr="00B75C50">
              <w:rPr>
                <w:rFonts w:ascii="Arial" w:eastAsia="宋体" w:hAnsi="Arial" w:cs="Arial"/>
                <w:b/>
                <w:sz w:val="22"/>
              </w:rPr>
              <w:t>型号</w:t>
            </w:r>
          </w:p>
        </w:tc>
        <w:tc>
          <w:tcPr>
            <w:tcW w:w="173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2"/>
              </w:rPr>
            </w:pPr>
            <w:r w:rsidRPr="00B75C50">
              <w:rPr>
                <w:rFonts w:ascii="Arial" w:eastAsia="宋体" w:hAnsi="Arial" w:cs="Arial"/>
                <w:b/>
                <w:sz w:val="22"/>
              </w:rPr>
              <w:t>冷量（</w:t>
            </w:r>
            <w:r w:rsidRPr="00B75C50">
              <w:rPr>
                <w:rFonts w:ascii="Arial" w:eastAsia="宋体" w:hAnsi="Arial" w:cs="Arial" w:hint="eastAsia"/>
                <w:b/>
                <w:sz w:val="22"/>
              </w:rPr>
              <w:t>K</w:t>
            </w:r>
            <w:r w:rsidRPr="00B75C50">
              <w:rPr>
                <w:rFonts w:ascii="Arial" w:eastAsia="宋体" w:hAnsi="Arial" w:cs="Arial"/>
                <w:b/>
                <w:sz w:val="22"/>
              </w:rPr>
              <w:t>W/</w:t>
            </w:r>
            <w:r w:rsidRPr="00B75C50">
              <w:rPr>
                <w:rFonts w:ascii="Arial" w:eastAsia="宋体" w:hAnsi="Arial" w:cs="Arial"/>
                <w:b/>
                <w:sz w:val="22"/>
              </w:rPr>
              <w:t>台）</w:t>
            </w:r>
          </w:p>
        </w:tc>
        <w:tc>
          <w:tcPr>
            <w:tcW w:w="1110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2"/>
              </w:rPr>
            </w:pPr>
            <w:r w:rsidRPr="00B75C50">
              <w:rPr>
                <w:rFonts w:ascii="Arial" w:eastAsia="宋体" w:hAnsi="Arial" w:cs="Arial"/>
                <w:b/>
                <w:sz w:val="22"/>
              </w:rPr>
              <w:t>数量（台）</w:t>
            </w:r>
          </w:p>
        </w:tc>
        <w:tc>
          <w:tcPr>
            <w:tcW w:w="2554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2"/>
              </w:rPr>
            </w:pPr>
            <w:r w:rsidRPr="00B75C50">
              <w:rPr>
                <w:rFonts w:ascii="Arial" w:eastAsia="宋体" w:hAnsi="Arial" w:cs="Arial"/>
                <w:b/>
                <w:sz w:val="22"/>
              </w:rPr>
              <w:t>所属项目</w:t>
            </w:r>
          </w:p>
        </w:tc>
      </w:tr>
      <w:tr w:rsidR="00B75C50" w:rsidRPr="00B75C50" w:rsidTr="0040117A">
        <w:trPr>
          <w:trHeight w:val="525"/>
        </w:trPr>
        <w:tc>
          <w:tcPr>
            <w:tcW w:w="218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/>
                <w:b/>
                <w:sz w:val="24"/>
                <w:szCs w:val="24"/>
              </w:rPr>
              <w:t>E</w:t>
            </w: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K</w:t>
            </w:r>
          </w:p>
        </w:tc>
        <w:tc>
          <w:tcPr>
            <w:tcW w:w="1958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EKAC460BR</w:t>
            </w:r>
          </w:p>
        </w:tc>
        <w:tc>
          <w:tcPr>
            <w:tcW w:w="173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134KW</w:t>
            </w:r>
          </w:p>
        </w:tc>
        <w:tc>
          <w:tcPr>
            <w:tcW w:w="1110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:rsidR="00B75C50" w:rsidRPr="00B75C50" w:rsidRDefault="00B75C50" w:rsidP="00B75C50">
            <w:pPr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武胜路</w:t>
            </w:r>
            <w:r w:rsidRPr="00B75C50">
              <w:rPr>
                <w:rFonts w:ascii="Arial" w:eastAsia="宋体" w:hAnsi="Arial" w:cs="Arial"/>
                <w:b/>
                <w:sz w:val="24"/>
                <w:szCs w:val="24"/>
              </w:rPr>
              <w:t>院区</w:t>
            </w: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手术室</w:t>
            </w:r>
          </w:p>
        </w:tc>
      </w:tr>
      <w:tr w:rsidR="00B75C50" w:rsidRPr="00B75C50" w:rsidTr="0040117A">
        <w:trPr>
          <w:trHeight w:val="525"/>
        </w:trPr>
        <w:tc>
          <w:tcPr>
            <w:tcW w:w="218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天加</w:t>
            </w:r>
          </w:p>
        </w:tc>
        <w:tc>
          <w:tcPr>
            <w:tcW w:w="1958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TCA201CH</w:t>
            </w:r>
          </w:p>
        </w:tc>
        <w:tc>
          <w:tcPr>
            <w:tcW w:w="173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66KW</w:t>
            </w:r>
          </w:p>
        </w:tc>
        <w:tc>
          <w:tcPr>
            <w:tcW w:w="1110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:rsidR="00B75C50" w:rsidRPr="00B75C50" w:rsidRDefault="00B75C50" w:rsidP="00B75C50">
            <w:pPr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古田院区干部病房</w:t>
            </w: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 xml:space="preserve">             </w:t>
            </w:r>
          </w:p>
        </w:tc>
      </w:tr>
      <w:tr w:rsidR="00B75C50" w:rsidRPr="00B75C50" w:rsidTr="0040117A">
        <w:trPr>
          <w:trHeight w:val="525"/>
        </w:trPr>
        <w:tc>
          <w:tcPr>
            <w:tcW w:w="218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天加</w:t>
            </w:r>
          </w:p>
        </w:tc>
        <w:tc>
          <w:tcPr>
            <w:tcW w:w="1958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TCA601NH</w:t>
            </w:r>
          </w:p>
        </w:tc>
        <w:tc>
          <w:tcPr>
            <w:tcW w:w="173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200KW</w:t>
            </w:r>
          </w:p>
        </w:tc>
        <w:tc>
          <w:tcPr>
            <w:tcW w:w="1110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B75C50" w:rsidRPr="00B75C50" w:rsidRDefault="00B75C50" w:rsidP="00B75C50">
            <w:pPr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古田院区行政办公楼</w:t>
            </w:r>
          </w:p>
        </w:tc>
      </w:tr>
      <w:tr w:rsidR="00B75C50" w:rsidRPr="00B75C50" w:rsidTr="0040117A">
        <w:trPr>
          <w:trHeight w:val="525"/>
        </w:trPr>
        <w:tc>
          <w:tcPr>
            <w:tcW w:w="218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EK</w:t>
            </w:r>
          </w:p>
        </w:tc>
        <w:tc>
          <w:tcPr>
            <w:tcW w:w="1958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EKAC460BR</w:t>
            </w:r>
          </w:p>
        </w:tc>
        <w:tc>
          <w:tcPr>
            <w:tcW w:w="173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134KW</w:t>
            </w:r>
          </w:p>
        </w:tc>
        <w:tc>
          <w:tcPr>
            <w:tcW w:w="1110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B75C50" w:rsidRPr="00B75C50" w:rsidRDefault="00B75C50" w:rsidP="00B75C50">
            <w:pPr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古田院区</w:t>
            </w:r>
            <w:r w:rsidRPr="00B75C50">
              <w:rPr>
                <w:rFonts w:ascii="Arial" w:eastAsia="宋体" w:hAnsi="Arial" w:cs="Arial"/>
                <w:b/>
                <w:sz w:val="24"/>
                <w:szCs w:val="24"/>
              </w:rPr>
              <w:t>手术室、</w:t>
            </w: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ICU</w:t>
            </w:r>
          </w:p>
        </w:tc>
      </w:tr>
      <w:tr w:rsidR="00B75C50" w:rsidRPr="00B75C50" w:rsidTr="0040117A">
        <w:trPr>
          <w:trHeight w:val="525"/>
        </w:trPr>
        <w:tc>
          <w:tcPr>
            <w:tcW w:w="218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EK</w:t>
            </w:r>
          </w:p>
        </w:tc>
        <w:tc>
          <w:tcPr>
            <w:tcW w:w="1958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EKAC230BR</w:t>
            </w:r>
          </w:p>
        </w:tc>
        <w:tc>
          <w:tcPr>
            <w:tcW w:w="1732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65.5KW</w:t>
            </w:r>
          </w:p>
        </w:tc>
        <w:tc>
          <w:tcPr>
            <w:tcW w:w="1110" w:type="dxa"/>
            <w:vAlign w:val="center"/>
          </w:tcPr>
          <w:p w:rsidR="00B75C50" w:rsidRPr="00B75C50" w:rsidRDefault="00B75C50" w:rsidP="00B75C50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8</w:t>
            </w:r>
          </w:p>
        </w:tc>
        <w:tc>
          <w:tcPr>
            <w:tcW w:w="2554" w:type="dxa"/>
          </w:tcPr>
          <w:p w:rsidR="00B75C50" w:rsidRPr="00B75C50" w:rsidRDefault="00B75C50" w:rsidP="00B75C50">
            <w:pPr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B75C50">
              <w:rPr>
                <w:rFonts w:ascii="Arial" w:eastAsia="宋体" w:hAnsi="Arial" w:cs="Arial" w:hint="eastAsia"/>
                <w:b/>
                <w:sz w:val="24"/>
                <w:szCs w:val="24"/>
              </w:rPr>
              <w:t>古田院区儿科</w:t>
            </w:r>
            <w:r w:rsidRPr="00B75C50">
              <w:rPr>
                <w:rFonts w:ascii="Arial" w:eastAsia="宋体" w:hAnsi="Arial" w:cs="Arial"/>
                <w:b/>
                <w:sz w:val="24"/>
                <w:szCs w:val="24"/>
              </w:rPr>
              <w:t>、透析室</w:t>
            </w:r>
          </w:p>
        </w:tc>
      </w:tr>
    </w:tbl>
    <w:p w:rsidR="00C43043" w:rsidRDefault="00C43043" w:rsidP="00B75C50">
      <w:pPr>
        <w:widowControl/>
        <w:spacing w:line="480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负责采购人</w:t>
      </w:r>
      <w:r w:rsidR="00B75C50">
        <w:rPr>
          <w:rFonts w:ascii="Times New Roman" w:eastAsia="宋体" w:hAnsi="Times New Roman" w:cs="Times New Roman" w:hint="eastAsia"/>
          <w:kern w:val="0"/>
          <w:sz w:val="28"/>
          <w:szCs w:val="28"/>
        </w:rPr>
        <w:t>上述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中央空调</w:t>
      </w:r>
      <w:r w:rsidR="00B75C50">
        <w:rPr>
          <w:rFonts w:ascii="Times New Roman" w:eastAsia="宋体" w:hAnsi="Times New Roman" w:cs="Times New Roman" w:hint="eastAsia"/>
          <w:kern w:val="0"/>
          <w:sz w:val="28"/>
          <w:szCs w:val="28"/>
        </w:rPr>
        <w:t>机组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维修</w:t>
      </w:r>
      <w:r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和保养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工作</w:t>
      </w:r>
      <w:r w:rsidR="00B75C50">
        <w:rPr>
          <w:rFonts w:ascii="Times New Roman" w:eastAsia="宋体" w:hAnsi="Times New Roman" w:cs="Times New Roman" w:hint="eastAsia"/>
          <w:kern w:val="0"/>
          <w:sz w:val="28"/>
          <w:szCs w:val="28"/>
        </w:rPr>
        <w:t>，以</w:t>
      </w:r>
      <w:r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确保机组高效、正常运行。</w:t>
      </w:r>
    </w:p>
    <w:p w:rsidR="00B42712" w:rsidRPr="00E658F5" w:rsidRDefault="00C43043" w:rsidP="00C43043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五、服务</w:t>
      </w:r>
      <w:r w:rsidR="00DA3330" w:rsidRPr="00E658F5">
        <w:rPr>
          <w:rFonts w:ascii="Times New Roman" w:eastAsia="宋体" w:hAnsi="Times New Roman" w:cs="Times New Roman"/>
          <w:kern w:val="0"/>
          <w:sz w:val="28"/>
          <w:szCs w:val="28"/>
        </w:rPr>
        <w:t>要求</w:t>
      </w:r>
    </w:p>
    <w:p w:rsidR="00F007BC" w:rsidRPr="00F007BC" w:rsidRDefault="00C43043" w:rsidP="00F007BC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bookmarkStart w:id="2" w:name="_Toc499021035"/>
      <w:bookmarkStart w:id="3" w:name="_Toc529964821"/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（一）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每年机组开始运行之前，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供应商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与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采购人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操作人员一起共同对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采购人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的机组进行一次检查调试，包括对油路、氟系统进行全面检测，对机组所有电控柜、控制中心进行检查，并对主电路、控制电路作检查测试，对电机接线进行紧固、整理，以使其投入正常运行状况，并提交相应的状态报告；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 xml:space="preserve">                        </w:t>
      </w:r>
    </w:p>
    <w:p w:rsidR="00F007BC" w:rsidRPr="00F007BC" w:rsidRDefault="00C43043" w:rsidP="00F007BC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（二）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每年使用季节结束，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供应商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对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采购人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的机组进行每年一次的全面检查及保养，同时提交年度保养报告。</w:t>
      </w:r>
    </w:p>
    <w:p w:rsidR="00F007BC" w:rsidRPr="00F007BC" w:rsidRDefault="00C43043" w:rsidP="00F007BC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（三）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月度预防性检查：机组在运行季节，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供应商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提供每月一次的预防性检查，以便及时发现并处理问题，并提交相应的工作单。</w:t>
      </w:r>
    </w:p>
    <w:p w:rsidR="00F007BC" w:rsidRPr="00F007BC" w:rsidRDefault="00C43043" w:rsidP="00F007BC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（四）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应急维修：机组在运行季节，对其出现的临时性故障，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供应商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提供随时的应急维护，以保证机组日常的正常运行，并提交相应的工作单。</w:t>
      </w:r>
    </w:p>
    <w:p w:rsidR="00B42712" w:rsidRDefault="00C43043" w:rsidP="00F007BC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（五）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保养合同期间，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采购人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机组运行出现故障时，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供应商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在接到甲方报修通知后，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2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个工作小时内到达现场（因交通原因延误除外），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lastRenderedPageBreak/>
        <w:t>进行故障排除或采取相关应急措施，直至机组恢复正常运行（设备零部件损坏，需加工或更换则除外）。</w:t>
      </w:r>
    </w:p>
    <w:p w:rsidR="00072F03" w:rsidRPr="00072F03" w:rsidRDefault="00072F03" w:rsidP="00072F03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 w:rsidRPr="00072F0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（六）每月检查各系统设备运行电流、温度、声音、震动、进出口压力，对设备进行除尘工作，对运行不正常的设备及时维修，保证机组正常运行。</w:t>
      </w:r>
    </w:p>
    <w:p w:rsidR="00072F03" w:rsidRPr="00072F03" w:rsidRDefault="00072F03" w:rsidP="00072F03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 w:rsidRPr="00072F0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（七）每年一次对泵、电机进行加油，防止轴承生锈。</w:t>
      </w:r>
    </w:p>
    <w:p w:rsidR="00072F03" w:rsidRPr="00072F03" w:rsidRDefault="00072F03" w:rsidP="00072F03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 w:rsidRPr="00072F0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（八）每年一次对泵、电机等设备进行防锈上漆工作，防止设备生锈，延长水泵使用寿命。</w:t>
      </w:r>
    </w:p>
    <w:p w:rsidR="00072F03" w:rsidRDefault="00072F03" w:rsidP="00072F03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 w:rsidRPr="00072F0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（九）每半年检查设备及控制柜接线螺栓是否松动，防止因接触不良引发的电气故障。</w:t>
      </w:r>
    </w:p>
    <w:p w:rsidR="00C43043" w:rsidRPr="00C43043" w:rsidRDefault="00C43043" w:rsidP="00C43043">
      <w:pPr>
        <w:widowControl/>
        <w:spacing w:line="480" w:lineRule="exact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七、付款方式</w:t>
      </w:r>
    </w:p>
    <w:p w:rsidR="00C43043" w:rsidRDefault="00C43043" w:rsidP="00C43043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（一）甲方对每季度乙方进行工作考核评价，从服务态度、服务能力、服务质量、服务效率、服务纪律五个方面进行考核打分评定。每方面考核内容分值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20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分，合计满分值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100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分。得分≧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90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分为合格，该季度维保费全额支付；得分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80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至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89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分为基本合格，维保费按每低于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90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分扣减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1%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；得分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&lt;80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分为不合格，维保费按每低于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90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分扣减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1%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，连续两个季度考评不合格，甲方有权单方面终止服务合同。</w:t>
      </w:r>
    </w:p>
    <w:p w:rsidR="00C43043" w:rsidRDefault="00C43043" w:rsidP="00C43043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（二）维保费支付方式，分四次支付，甲方每季度根据考评分数来确定维保费。</w:t>
      </w:r>
    </w:p>
    <w:bookmarkEnd w:id="2"/>
    <w:bookmarkEnd w:id="3"/>
    <w:p w:rsidR="00B60CB1" w:rsidRPr="00E658F5" w:rsidRDefault="00373086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七</w:t>
      </w:r>
      <w:r w:rsidR="00B60CB1" w:rsidRPr="00E658F5">
        <w:rPr>
          <w:rFonts w:ascii="Times New Roman" w:eastAsia="宋体" w:hAnsi="Times New Roman" w:cs="Times New Roman"/>
          <w:kern w:val="0"/>
          <w:sz w:val="28"/>
          <w:szCs w:val="28"/>
        </w:rPr>
        <w:t>、响应文件提交时间：</w:t>
      </w:r>
    </w:p>
    <w:p w:rsidR="006859D0" w:rsidRPr="00072F03" w:rsidRDefault="006859D0" w:rsidP="006859D0">
      <w:pPr>
        <w:spacing w:line="540" w:lineRule="exact"/>
        <w:ind w:firstLineChars="200" w:firstLine="560"/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</w:rPr>
      </w:pP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2022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18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日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-2022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24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日（工作时间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08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：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00-12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：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00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，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14:00-17:00</w:t>
      </w:r>
      <w:r w:rsidRPr="00072F03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）。响应文件密封报送并盖骑缝章，封面注明参与单位、项目名称、联系人及联系方式。</w:t>
      </w:r>
    </w:p>
    <w:p w:rsidR="00C43043" w:rsidRPr="00C43043" w:rsidRDefault="00C43043" w:rsidP="00C43043">
      <w:pPr>
        <w:spacing w:line="540" w:lineRule="exact"/>
        <w:rPr>
          <w:rFonts w:ascii="宋体" w:eastAsia="宋体" w:hAnsi="宋体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八、资格要求：</w:t>
      </w:r>
    </w:p>
    <w:p w:rsidR="00C43043" w:rsidRPr="00C43043" w:rsidRDefault="00C43043" w:rsidP="00C43043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43043">
        <w:rPr>
          <w:rFonts w:ascii="宋体" w:eastAsia="宋体" w:hAnsi="宋体" w:cs="宋体" w:hint="eastAsia"/>
          <w:kern w:val="0"/>
          <w:sz w:val="28"/>
          <w:szCs w:val="28"/>
        </w:rPr>
        <w:t>（一）满足《中华人民共和国政府采购法》第二十二条规定：</w:t>
      </w:r>
    </w:p>
    <w:p w:rsidR="00C43043" w:rsidRPr="00C43043" w:rsidRDefault="00C43043" w:rsidP="00C43043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（1）具有独立承担民事责任的能力；</w:t>
      </w:r>
    </w:p>
    <w:p w:rsidR="00C43043" w:rsidRPr="00C43043" w:rsidRDefault="00C43043" w:rsidP="00C43043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（2）具有良好的商业信誉和健全的财务会计制度；</w:t>
      </w:r>
    </w:p>
    <w:p w:rsidR="00C43043" w:rsidRPr="00C43043" w:rsidRDefault="00C43043" w:rsidP="00C43043">
      <w:pPr>
        <w:spacing w:line="600" w:lineRule="exact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lastRenderedPageBreak/>
        <w:t>（3）供应商必须具备电子与智能化工程专业承包资质</w:t>
      </w:r>
    </w:p>
    <w:p w:rsidR="00C43043" w:rsidRPr="00C43043" w:rsidRDefault="00C43043" w:rsidP="00C43043">
      <w:pPr>
        <w:spacing w:line="600" w:lineRule="exact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（4）供应商必须具备安全生产许可证书</w:t>
      </w:r>
    </w:p>
    <w:p w:rsidR="00C43043" w:rsidRPr="00C43043" w:rsidRDefault="00C43043" w:rsidP="00C43043">
      <w:pPr>
        <w:spacing w:line="600" w:lineRule="exact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（5）具有履行合同所必需的设备和专业技术能力；</w:t>
      </w:r>
    </w:p>
    <w:p w:rsidR="00C43043" w:rsidRPr="00C43043" w:rsidRDefault="00C43043" w:rsidP="00C43043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（6）有依法缴纳税收和社会保障资金的良好记录；</w:t>
      </w:r>
    </w:p>
    <w:p w:rsidR="00C43043" w:rsidRPr="00C43043" w:rsidRDefault="00C43043" w:rsidP="00C43043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（7）参加政府采购活动前三年内，在经营活动中没有重大违法记录；</w:t>
      </w:r>
    </w:p>
    <w:p w:rsidR="00C43043" w:rsidRPr="00C43043" w:rsidRDefault="00C43043" w:rsidP="00C43043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（8）法律、行政法规规定的其他条件。</w:t>
      </w:r>
    </w:p>
    <w:p w:rsidR="00B60CB1" w:rsidRPr="00E658F5" w:rsidRDefault="00C43043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九</w:t>
      </w:r>
      <w:r w:rsidR="00B60CB1" w:rsidRPr="00E658F5">
        <w:rPr>
          <w:rFonts w:ascii="Times New Roman" w:eastAsia="宋体" w:hAnsi="Times New Roman" w:cs="Times New Roman"/>
          <w:kern w:val="0"/>
          <w:sz w:val="28"/>
          <w:szCs w:val="28"/>
        </w:rPr>
        <w:t>、响应文件递交送达地址：武汉市第四医院武胜路院区总务科</w:t>
      </w:r>
    </w:p>
    <w:p w:rsidR="00B60CB1" w:rsidRPr="00E658F5" w:rsidRDefault="00C43043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十</w:t>
      </w:r>
      <w:r w:rsidR="00B60CB1" w:rsidRPr="00E658F5">
        <w:rPr>
          <w:rFonts w:ascii="Times New Roman" w:eastAsia="宋体" w:hAnsi="Times New Roman" w:cs="Times New Roman"/>
          <w:kern w:val="0"/>
          <w:sz w:val="28"/>
          <w:szCs w:val="28"/>
        </w:rPr>
        <w:t>、会议时间及地点另行通知。</w:t>
      </w:r>
    </w:p>
    <w:p w:rsidR="00B60CB1" w:rsidRPr="00E658F5" w:rsidRDefault="00C0006A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十</w:t>
      </w:r>
      <w:r w:rsid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一</w:t>
      </w:r>
      <w:r w:rsidR="00B60CB1" w:rsidRPr="00E658F5">
        <w:rPr>
          <w:rFonts w:ascii="Times New Roman" w:eastAsia="宋体" w:hAnsi="Times New Roman" w:cs="Times New Roman"/>
          <w:kern w:val="0"/>
          <w:sz w:val="28"/>
          <w:szCs w:val="28"/>
        </w:rPr>
        <w:t>、联系方式</w:t>
      </w:r>
    </w:p>
    <w:p w:rsidR="00B60CB1" w:rsidRPr="00E658F5" w:rsidRDefault="00B60CB1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采购人：武汉市第四医院</w:t>
      </w:r>
    </w:p>
    <w:p w:rsidR="00B60CB1" w:rsidRPr="00E658F5" w:rsidRDefault="00B60CB1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地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 xml:space="preserve">  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址：武汉市第四医院武胜路院区总务科</w:t>
      </w:r>
    </w:p>
    <w:p w:rsidR="00B60CB1" w:rsidRPr="00E658F5" w:rsidRDefault="00B60CB1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联系人：任文杰</w:t>
      </w:r>
    </w:p>
    <w:p w:rsidR="000D2607" w:rsidRPr="00E658F5" w:rsidRDefault="00B60CB1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电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 xml:space="preserve">  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话：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68834990</w:t>
      </w:r>
    </w:p>
    <w:sectPr w:rsidR="000D2607" w:rsidRPr="00E658F5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48" w:rsidRPr="008C5BE3" w:rsidRDefault="00AA7848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AA7848" w:rsidRPr="008C5BE3" w:rsidRDefault="00AA7848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48" w:rsidRPr="008C5BE3" w:rsidRDefault="00AA7848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AA7848" w:rsidRPr="008C5BE3" w:rsidRDefault="00AA7848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6A92DF"/>
    <w:multiLevelType w:val="singleLevel"/>
    <w:tmpl w:val="B76A92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25107A"/>
    <w:multiLevelType w:val="multilevel"/>
    <w:tmpl w:val="2D25107A"/>
    <w:lvl w:ilvl="0">
      <w:start w:val="1"/>
      <w:numFmt w:val="none"/>
      <w:lvlText w:val="一、"/>
      <w:lvlJc w:val="left"/>
      <w:pPr>
        <w:ind w:left="2891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44" w:hanging="420"/>
      </w:pPr>
    </w:lvl>
    <w:lvl w:ilvl="2">
      <w:start w:val="1"/>
      <w:numFmt w:val="lowerRoman"/>
      <w:lvlText w:val="%3."/>
      <w:lvlJc w:val="right"/>
      <w:pPr>
        <w:ind w:left="4664" w:hanging="420"/>
      </w:pPr>
    </w:lvl>
    <w:lvl w:ilvl="3">
      <w:start w:val="1"/>
      <w:numFmt w:val="decimal"/>
      <w:lvlText w:val="%4."/>
      <w:lvlJc w:val="left"/>
      <w:pPr>
        <w:ind w:left="5084" w:hanging="420"/>
      </w:pPr>
    </w:lvl>
    <w:lvl w:ilvl="4">
      <w:start w:val="1"/>
      <w:numFmt w:val="lowerLetter"/>
      <w:lvlText w:val="%5)"/>
      <w:lvlJc w:val="left"/>
      <w:pPr>
        <w:ind w:left="5504" w:hanging="420"/>
      </w:pPr>
    </w:lvl>
    <w:lvl w:ilvl="5">
      <w:start w:val="1"/>
      <w:numFmt w:val="lowerRoman"/>
      <w:lvlText w:val="%6."/>
      <w:lvlJc w:val="right"/>
      <w:pPr>
        <w:ind w:left="5924" w:hanging="420"/>
      </w:pPr>
    </w:lvl>
    <w:lvl w:ilvl="6">
      <w:start w:val="1"/>
      <w:numFmt w:val="decimal"/>
      <w:lvlText w:val="%7."/>
      <w:lvlJc w:val="left"/>
      <w:pPr>
        <w:ind w:left="6344" w:hanging="420"/>
      </w:pPr>
    </w:lvl>
    <w:lvl w:ilvl="7">
      <w:start w:val="1"/>
      <w:numFmt w:val="lowerLetter"/>
      <w:lvlText w:val="%8)"/>
      <w:lvlJc w:val="left"/>
      <w:pPr>
        <w:ind w:left="6764" w:hanging="420"/>
      </w:pPr>
    </w:lvl>
    <w:lvl w:ilvl="8">
      <w:start w:val="1"/>
      <w:numFmt w:val="lowerRoman"/>
      <w:lvlText w:val="%9."/>
      <w:lvlJc w:val="right"/>
      <w:pPr>
        <w:ind w:left="7184" w:hanging="420"/>
      </w:pPr>
    </w:lvl>
  </w:abstractNum>
  <w:abstractNum w:abstractNumId="2">
    <w:nsid w:val="2EA703AD"/>
    <w:multiLevelType w:val="multilevel"/>
    <w:tmpl w:val="2EA703AD"/>
    <w:lvl w:ilvl="0">
      <w:start w:val="2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1BB58AA"/>
    <w:multiLevelType w:val="hybridMultilevel"/>
    <w:tmpl w:val="78327E58"/>
    <w:lvl w:ilvl="0" w:tplc="2C8676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1397E"/>
    <w:rsid w:val="00020068"/>
    <w:rsid w:val="00072F03"/>
    <w:rsid w:val="000D0824"/>
    <w:rsid w:val="000D2607"/>
    <w:rsid w:val="00111BCC"/>
    <w:rsid w:val="001545EA"/>
    <w:rsid w:val="002012FD"/>
    <w:rsid w:val="00273E63"/>
    <w:rsid w:val="002E435A"/>
    <w:rsid w:val="0030138E"/>
    <w:rsid w:val="00373086"/>
    <w:rsid w:val="00384090"/>
    <w:rsid w:val="003A43BD"/>
    <w:rsid w:val="003C0DA7"/>
    <w:rsid w:val="003D13CC"/>
    <w:rsid w:val="003D1EDD"/>
    <w:rsid w:val="00427359"/>
    <w:rsid w:val="00471CA5"/>
    <w:rsid w:val="00471DC3"/>
    <w:rsid w:val="004938D2"/>
    <w:rsid w:val="004A0978"/>
    <w:rsid w:val="004B216C"/>
    <w:rsid w:val="004F1D30"/>
    <w:rsid w:val="00512988"/>
    <w:rsid w:val="005619B2"/>
    <w:rsid w:val="0056415A"/>
    <w:rsid w:val="005A1D62"/>
    <w:rsid w:val="00625749"/>
    <w:rsid w:val="00636F68"/>
    <w:rsid w:val="00652781"/>
    <w:rsid w:val="006602EC"/>
    <w:rsid w:val="00662A86"/>
    <w:rsid w:val="0066614C"/>
    <w:rsid w:val="00672978"/>
    <w:rsid w:val="006859D0"/>
    <w:rsid w:val="006935BF"/>
    <w:rsid w:val="006A466D"/>
    <w:rsid w:val="006F046E"/>
    <w:rsid w:val="00757962"/>
    <w:rsid w:val="00763188"/>
    <w:rsid w:val="0083725C"/>
    <w:rsid w:val="008A0735"/>
    <w:rsid w:val="008C376C"/>
    <w:rsid w:val="00914155"/>
    <w:rsid w:val="00914A56"/>
    <w:rsid w:val="00964A59"/>
    <w:rsid w:val="009E53C6"/>
    <w:rsid w:val="00A64CF5"/>
    <w:rsid w:val="00A67129"/>
    <w:rsid w:val="00A7418F"/>
    <w:rsid w:val="00AA0519"/>
    <w:rsid w:val="00AA7848"/>
    <w:rsid w:val="00AC5FA6"/>
    <w:rsid w:val="00AE00C3"/>
    <w:rsid w:val="00B15E5F"/>
    <w:rsid w:val="00B42712"/>
    <w:rsid w:val="00B60CB1"/>
    <w:rsid w:val="00B75C50"/>
    <w:rsid w:val="00B77416"/>
    <w:rsid w:val="00B822FD"/>
    <w:rsid w:val="00C0006A"/>
    <w:rsid w:val="00C241C3"/>
    <w:rsid w:val="00C35FEB"/>
    <w:rsid w:val="00C43043"/>
    <w:rsid w:val="00C723AB"/>
    <w:rsid w:val="00D02CBF"/>
    <w:rsid w:val="00D36D6A"/>
    <w:rsid w:val="00D37F03"/>
    <w:rsid w:val="00D530D3"/>
    <w:rsid w:val="00D6018B"/>
    <w:rsid w:val="00DA2594"/>
    <w:rsid w:val="00DA3330"/>
    <w:rsid w:val="00DC2290"/>
    <w:rsid w:val="00E27E80"/>
    <w:rsid w:val="00E6486B"/>
    <w:rsid w:val="00E658F5"/>
    <w:rsid w:val="00E80AEC"/>
    <w:rsid w:val="00EC093E"/>
    <w:rsid w:val="00F007BC"/>
    <w:rsid w:val="00F16922"/>
    <w:rsid w:val="00F30FA4"/>
    <w:rsid w:val="00F701F9"/>
    <w:rsid w:val="00F93BF3"/>
    <w:rsid w:val="00F9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80AEC"/>
    <w:pPr>
      <w:spacing w:line="360" w:lineRule="auto"/>
      <w:jc w:val="center"/>
      <w:outlineLvl w:val="1"/>
    </w:pPr>
    <w:rPr>
      <w:rFonts w:ascii="宋体" w:hAnsi="宋体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  <w:style w:type="paragraph" w:styleId="a5">
    <w:name w:val="List Paragraph"/>
    <w:basedOn w:val="a"/>
    <w:uiPriority w:val="34"/>
    <w:qFormat/>
    <w:rsid w:val="00111BCC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80AEC"/>
    <w:rPr>
      <w:rFonts w:ascii="宋体" w:hAnsi="宋体" w:cstheme="majorBidi"/>
      <w:b/>
      <w:bCs/>
      <w:i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B15E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5E5F"/>
    <w:rPr>
      <w:sz w:val="18"/>
      <w:szCs w:val="18"/>
    </w:rPr>
  </w:style>
  <w:style w:type="paragraph" w:styleId="a7">
    <w:name w:val="No Spacing"/>
    <w:uiPriority w:val="1"/>
    <w:qFormat/>
    <w:rsid w:val="00B15E5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41FD-655F-46C7-AB47-002A12F6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67</cp:revision>
  <dcterms:created xsi:type="dcterms:W3CDTF">2021-12-10T00:17:00Z</dcterms:created>
  <dcterms:modified xsi:type="dcterms:W3CDTF">2022-03-17T07:01:00Z</dcterms:modified>
</cp:coreProperties>
</file>